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8E3" w:rsidRDefault="00447F4D">
      <w:pPr>
        <w:pStyle w:val="BodyText"/>
        <w:ind w:left="3446" w:firstLine="0"/>
        <w:rPr>
          <w:rFonts w:ascii="Times New Roman"/>
        </w:rPr>
      </w:pPr>
      <w:r>
        <w:rPr>
          <w:rFonts w:ascii="Times New Roman"/>
          <w:noProof/>
        </w:rPr>
        <w:drawing>
          <wp:inline distT="0" distB="0" distL="0" distR="0">
            <wp:extent cx="1682496" cy="15361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82496" cy="1536192"/>
                    </a:xfrm>
                    <a:prstGeom prst="rect">
                      <a:avLst/>
                    </a:prstGeom>
                  </pic:spPr>
                </pic:pic>
              </a:graphicData>
            </a:graphic>
          </wp:inline>
        </w:drawing>
      </w:r>
    </w:p>
    <w:p w:rsidR="000A58E3" w:rsidRDefault="000A58E3">
      <w:pPr>
        <w:pStyle w:val="BodyText"/>
        <w:spacing w:before="10"/>
        <w:ind w:left="0" w:firstLine="0"/>
        <w:rPr>
          <w:rFonts w:ascii="Times New Roman"/>
          <w:sz w:val="27"/>
        </w:rPr>
      </w:pPr>
    </w:p>
    <w:p w:rsidR="000A58E3" w:rsidRDefault="00447F4D">
      <w:pPr>
        <w:spacing w:before="101"/>
        <w:ind w:left="2382" w:right="2382"/>
        <w:jc w:val="center"/>
        <w:rPr>
          <w:b/>
          <w:sz w:val="28"/>
        </w:rPr>
      </w:pPr>
      <w:r>
        <w:rPr>
          <w:b/>
          <w:sz w:val="28"/>
        </w:rPr>
        <w:t>Third-Party Fundraiser Guidelines</w:t>
      </w:r>
    </w:p>
    <w:p w:rsidR="000A58E3" w:rsidRDefault="000A58E3">
      <w:pPr>
        <w:pStyle w:val="BodyText"/>
        <w:spacing w:before="4"/>
        <w:ind w:left="0" w:firstLine="0"/>
        <w:rPr>
          <w:b/>
          <w:sz w:val="12"/>
        </w:rPr>
      </w:pPr>
    </w:p>
    <w:p w:rsidR="000A58E3" w:rsidRDefault="00447F4D">
      <w:pPr>
        <w:pStyle w:val="BodyText"/>
        <w:spacing w:before="100" w:line="276" w:lineRule="auto"/>
        <w:ind w:left="100" w:right="116" w:firstLine="0"/>
      </w:pPr>
      <w:r>
        <w:t>Thank you for considering Helen Woodward Animal Center as the beneficiary of your fundraising efforts! Through fundraising events and promotions like yours, the Center is able to raise awareness and funds for orphan pets. In order to ensure a successful pa</w:t>
      </w:r>
      <w:r>
        <w:t>rtnership, we have established a set of guidelines to protect organizations, individuals, groups, and Helen Woodward Animal Center.</w:t>
      </w:r>
    </w:p>
    <w:p w:rsidR="000A58E3" w:rsidRDefault="00447F4D">
      <w:pPr>
        <w:pStyle w:val="BodyText"/>
        <w:spacing w:before="201" w:line="276" w:lineRule="auto"/>
        <w:ind w:left="100" w:right="116" w:firstLine="0"/>
      </w:pPr>
      <w:r>
        <w:t xml:space="preserve">A </w:t>
      </w:r>
      <w:r>
        <w:rPr>
          <w:b/>
        </w:rPr>
        <w:t xml:space="preserve">Third-Party Fundraiser </w:t>
      </w:r>
      <w:r>
        <w:t>is an event or project that is hosted by an organization, individual, or group in the community tha</w:t>
      </w:r>
      <w:r>
        <w:t xml:space="preserve">t benefits Helen Woodward Animal Center. The organizer should always keep in mind the Center’s mission, vision, and values and should not include any aspect that would potentially detract from these important standards and jeopardize the Center’s positive </w:t>
      </w:r>
      <w:r>
        <w:t>reputation and community goodwill.</w:t>
      </w:r>
    </w:p>
    <w:p w:rsidR="000A58E3" w:rsidRDefault="00447F4D">
      <w:pPr>
        <w:pStyle w:val="Heading1"/>
      </w:pPr>
      <w:r>
        <w:t>Guidelines</w:t>
      </w:r>
    </w:p>
    <w:p w:rsidR="000A58E3" w:rsidRDefault="000A58E3">
      <w:pPr>
        <w:pStyle w:val="BodyText"/>
        <w:spacing w:before="4"/>
        <w:ind w:left="0" w:firstLine="0"/>
        <w:rPr>
          <w:b/>
          <w:sz w:val="19"/>
        </w:rPr>
      </w:pPr>
    </w:p>
    <w:p w:rsidR="000A58E3" w:rsidRDefault="00447F4D">
      <w:pPr>
        <w:pStyle w:val="ListParagraph"/>
        <w:numPr>
          <w:ilvl w:val="0"/>
          <w:numId w:val="2"/>
        </w:numPr>
        <w:tabs>
          <w:tab w:val="left" w:pos="821"/>
        </w:tabs>
        <w:spacing w:line="276" w:lineRule="auto"/>
        <w:ind w:right="107"/>
        <w:rPr>
          <w:sz w:val="20"/>
        </w:rPr>
      </w:pPr>
      <w:r>
        <w:rPr>
          <w:sz w:val="20"/>
        </w:rPr>
        <w:t xml:space="preserve">All fundraising events, projects, and promotions must be approved by the Center. Annual events must be re-approved </w:t>
      </w:r>
      <w:r>
        <w:rPr>
          <w:i/>
          <w:sz w:val="20"/>
        </w:rPr>
        <w:t>each</w:t>
      </w:r>
      <w:r>
        <w:rPr>
          <w:i/>
          <w:spacing w:val="-1"/>
          <w:sz w:val="20"/>
        </w:rPr>
        <w:t xml:space="preserve"> </w:t>
      </w:r>
      <w:r>
        <w:rPr>
          <w:i/>
          <w:sz w:val="20"/>
        </w:rPr>
        <w:t>year</w:t>
      </w:r>
      <w:r>
        <w:rPr>
          <w:sz w:val="20"/>
        </w:rPr>
        <w:t>.</w:t>
      </w:r>
    </w:p>
    <w:p w:rsidR="00447F4D" w:rsidRPr="00447F4D" w:rsidRDefault="00447F4D" w:rsidP="00447F4D">
      <w:pPr>
        <w:pStyle w:val="ListParagraph"/>
        <w:numPr>
          <w:ilvl w:val="0"/>
          <w:numId w:val="2"/>
        </w:numPr>
        <w:tabs>
          <w:tab w:val="left" w:pos="821"/>
        </w:tabs>
        <w:spacing w:before="1" w:line="276" w:lineRule="auto"/>
        <w:ind w:right="196"/>
        <w:rPr>
          <w:sz w:val="20"/>
        </w:rPr>
      </w:pPr>
      <w:r>
        <w:rPr>
          <w:sz w:val="20"/>
        </w:rPr>
        <w:t>Organizer is responsible for all event coordination, marketing/promotion and sales.</w:t>
      </w:r>
      <w:r>
        <w:rPr>
          <w:sz w:val="20"/>
        </w:rPr>
        <w:t xml:space="preserve"> If you are a business or organization looking to promote with the Center, please visit:</w:t>
      </w:r>
      <w:r>
        <w:t xml:space="preserve"> </w:t>
      </w:r>
      <w:hyperlink r:id="rId6" w:history="1">
        <w:r w:rsidRPr="00447F4D">
          <w:rPr>
            <w:rStyle w:val="Hyperlink"/>
            <w:sz w:val="20"/>
          </w:rPr>
          <w:t>https://animalcenter.org/get-involved/business-buddies/</w:t>
        </w:r>
      </w:hyperlink>
    </w:p>
    <w:p w:rsidR="000A58E3" w:rsidRDefault="00447F4D">
      <w:pPr>
        <w:pStyle w:val="ListParagraph"/>
        <w:numPr>
          <w:ilvl w:val="0"/>
          <w:numId w:val="2"/>
        </w:numPr>
        <w:tabs>
          <w:tab w:val="left" w:pos="821"/>
        </w:tabs>
        <w:spacing w:line="276" w:lineRule="auto"/>
        <w:ind w:right="218"/>
        <w:rPr>
          <w:sz w:val="20"/>
        </w:rPr>
      </w:pPr>
      <w:r>
        <w:rPr>
          <w:sz w:val="20"/>
        </w:rPr>
        <w:t>A</w:t>
      </w:r>
      <w:r>
        <w:rPr>
          <w:sz w:val="20"/>
        </w:rPr>
        <w:t>ll</w:t>
      </w:r>
      <w:r>
        <w:rPr>
          <w:spacing w:val="-3"/>
          <w:sz w:val="20"/>
        </w:rPr>
        <w:t xml:space="preserve"> </w:t>
      </w:r>
      <w:r>
        <w:rPr>
          <w:sz w:val="20"/>
        </w:rPr>
        <w:t>promotional</w:t>
      </w:r>
      <w:r>
        <w:rPr>
          <w:spacing w:val="-2"/>
          <w:sz w:val="20"/>
        </w:rPr>
        <w:t xml:space="preserve"> </w:t>
      </w:r>
      <w:r>
        <w:rPr>
          <w:sz w:val="20"/>
        </w:rPr>
        <w:t>materials</w:t>
      </w:r>
      <w:r>
        <w:rPr>
          <w:spacing w:val="-4"/>
          <w:sz w:val="20"/>
        </w:rPr>
        <w:t xml:space="preserve"> </w:t>
      </w:r>
      <w:r>
        <w:rPr>
          <w:sz w:val="20"/>
        </w:rPr>
        <w:t>m</w:t>
      </w:r>
      <w:r>
        <w:rPr>
          <w:sz w:val="20"/>
        </w:rPr>
        <w:t>ust</w:t>
      </w:r>
      <w:r>
        <w:rPr>
          <w:spacing w:val="-2"/>
          <w:sz w:val="20"/>
        </w:rPr>
        <w:t xml:space="preserve"> </w:t>
      </w:r>
      <w:r>
        <w:rPr>
          <w:sz w:val="20"/>
        </w:rPr>
        <w:t>clearly</w:t>
      </w:r>
      <w:r>
        <w:rPr>
          <w:spacing w:val="-5"/>
          <w:sz w:val="20"/>
        </w:rPr>
        <w:t xml:space="preserve"> </w:t>
      </w:r>
      <w:r>
        <w:rPr>
          <w:sz w:val="20"/>
        </w:rPr>
        <w:t>state</w:t>
      </w:r>
      <w:r>
        <w:rPr>
          <w:spacing w:val="-4"/>
          <w:sz w:val="20"/>
        </w:rPr>
        <w:t xml:space="preserve"> </w:t>
      </w:r>
      <w:r>
        <w:rPr>
          <w:sz w:val="20"/>
        </w:rPr>
        <w:t>the</w:t>
      </w:r>
      <w:r>
        <w:rPr>
          <w:spacing w:val="-3"/>
          <w:sz w:val="20"/>
        </w:rPr>
        <w:t xml:space="preserve"> </w:t>
      </w:r>
      <w:r>
        <w:rPr>
          <w:sz w:val="20"/>
        </w:rPr>
        <w:t>percentage</w:t>
      </w:r>
      <w:r>
        <w:rPr>
          <w:spacing w:val="-4"/>
          <w:sz w:val="20"/>
        </w:rPr>
        <w:t xml:space="preserve"> </w:t>
      </w:r>
      <w:r>
        <w:rPr>
          <w:sz w:val="20"/>
        </w:rPr>
        <w:t>of</w:t>
      </w:r>
      <w:r>
        <w:rPr>
          <w:spacing w:val="-4"/>
          <w:sz w:val="20"/>
        </w:rPr>
        <w:t xml:space="preserve"> </w:t>
      </w:r>
      <w:r>
        <w:rPr>
          <w:sz w:val="20"/>
        </w:rPr>
        <w:t>proceeds</w:t>
      </w:r>
      <w:r>
        <w:rPr>
          <w:spacing w:val="-4"/>
          <w:sz w:val="20"/>
        </w:rPr>
        <w:t xml:space="preserve"> </w:t>
      </w:r>
      <w:r>
        <w:rPr>
          <w:sz w:val="20"/>
        </w:rPr>
        <w:t>that</w:t>
      </w:r>
      <w:r>
        <w:rPr>
          <w:spacing w:val="-2"/>
          <w:sz w:val="20"/>
        </w:rPr>
        <w:t xml:space="preserve"> </w:t>
      </w:r>
      <w:r>
        <w:rPr>
          <w:sz w:val="20"/>
        </w:rPr>
        <w:t>will</w:t>
      </w:r>
      <w:r>
        <w:rPr>
          <w:spacing w:val="-5"/>
          <w:sz w:val="20"/>
        </w:rPr>
        <w:t xml:space="preserve"> </w:t>
      </w:r>
      <w:r>
        <w:rPr>
          <w:sz w:val="20"/>
        </w:rPr>
        <w:t>benefit Helen Woodward Animal</w:t>
      </w:r>
      <w:r>
        <w:rPr>
          <w:spacing w:val="1"/>
          <w:sz w:val="20"/>
        </w:rPr>
        <w:t xml:space="preserve"> </w:t>
      </w:r>
      <w:r>
        <w:rPr>
          <w:sz w:val="20"/>
        </w:rPr>
        <w:t>Center.</w:t>
      </w:r>
    </w:p>
    <w:p w:rsidR="000A58E3" w:rsidRDefault="00447F4D">
      <w:pPr>
        <w:pStyle w:val="ListParagraph"/>
        <w:numPr>
          <w:ilvl w:val="0"/>
          <w:numId w:val="2"/>
        </w:numPr>
        <w:tabs>
          <w:tab w:val="left" w:pos="821"/>
        </w:tabs>
        <w:spacing w:line="276" w:lineRule="auto"/>
        <w:ind w:right="127"/>
        <w:rPr>
          <w:sz w:val="20"/>
        </w:rPr>
      </w:pPr>
      <w:r>
        <w:rPr>
          <w:sz w:val="20"/>
        </w:rPr>
        <w:t>Any use of the Helen Woodward Animal Center logo or inclusion of Helen Woodward Animal Center’s name must be approved by Helen Woodward Animal Center at least 30 days prior to the event. Any contact with press or other media must be confirmed with Helen Wo</w:t>
      </w:r>
      <w:r>
        <w:rPr>
          <w:sz w:val="20"/>
        </w:rPr>
        <w:t>odward Animal</w:t>
      </w:r>
      <w:r>
        <w:rPr>
          <w:spacing w:val="1"/>
          <w:sz w:val="20"/>
        </w:rPr>
        <w:t xml:space="preserve"> </w:t>
      </w:r>
      <w:r>
        <w:rPr>
          <w:sz w:val="20"/>
        </w:rPr>
        <w:t>Center.</w:t>
      </w:r>
    </w:p>
    <w:p w:rsidR="000A58E3" w:rsidRDefault="00447F4D">
      <w:pPr>
        <w:pStyle w:val="ListParagraph"/>
        <w:numPr>
          <w:ilvl w:val="0"/>
          <w:numId w:val="2"/>
        </w:numPr>
        <w:tabs>
          <w:tab w:val="left" w:pos="821"/>
        </w:tabs>
        <w:spacing w:line="276" w:lineRule="auto"/>
        <w:ind w:right="375"/>
        <w:rPr>
          <w:sz w:val="20"/>
        </w:rPr>
      </w:pPr>
      <w:r>
        <w:rPr>
          <w:sz w:val="20"/>
        </w:rPr>
        <w:t>Helen Woodward Animal Center cannot finance any expenses related to a Third-Party Fundraiser or assume responsibility for any debts</w:t>
      </w:r>
      <w:r>
        <w:rPr>
          <w:spacing w:val="-6"/>
          <w:sz w:val="20"/>
        </w:rPr>
        <w:t xml:space="preserve"> </w:t>
      </w:r>
      <w:r>
        <w:rPr>
          <w:sz w:val="20"/>
        </w:rPr>
        <w:t>incurred.</w:t>
      </w:r>
    </w:p>
    <w:p w:rsidR="000A58E3" w:rsidRDefault="00447F4D">
      <w:pPr>
        <w:pStyle w:val="ListParagraph"/>
        <w:numPr>
          <w:ilvl w:val="0"/>
          <w:numId w:val="2"/>
        </w:numPr>
        <w:tabs>
          <w:tab w:val="left" w:pos="821"/>
        </w:tabs>
        <w:spacing w:line="276" w:lineRule="auto"/>
        <w:ind w:right="483"/>
        <w:rPr>
          <w:sz w:val="20"/>
        </w:rPr>
      </w:pPr>
      <w:r>
        <w:rPr>
          <w:sz w:val="20"/>
        </w:rPr>
        <w:t>Organizer agrees to coordinate with and request permission from Helen Woodward Animal Center</w:t>
      </w:r>
      <w:r>
        <w:rPr>
          <w:sz w:val="20"/>
        </w:rPr>
        <w:t xml:space="preserve"> before soliciting any individuals, organizations, or businesses in order to avoid duplicated</w:t>
      </w:r>
      <w:r>
        <w:rPr>
          <w:spacing w:val="-3"/>
          <w:sz w:val="20"/>
        </w:rPr>
        <w:t xml:space="preserve"> </w:t>
      </w:r>
      <w:r>
        <w:rPr>
          <w:sz w:val="20"/>
        </w:rPr>
        <w:t>efforts.</w:t>
      </w:r>
    </w:p>
    <w:p w:rsidR="000A58E3" w:rsidRDefault="00447F4D">
      <w:pPr>
        <w:pStyle w:val="ListParagraph"/>
        <w:numPr>
          <w:ilvl w:val="0"/>
          <w:numId w:val="2"/>
        </w:numPr>
        <w:tabs>
          <w:tab w:val="left" w:pos="821"/>
        </w:tabs>
        <w:spacing w:before="1" w:line="276" w:lineRule="auto"/>
        <w:ind w:right="115"/>
        <w:rPr>
          <w:sz w:val="20"/>
        </w:rPr>
      </w:pPr>
      <w:r>
        <w:rPr>
          <w:sz w:val="20"/>
        </w:rPr>
        <w:t>Organizer must state the terms of the donation that Helen Woodward Animal Center can expect from the event and must submit the donation within thirty (30</w:t>
      </w:r>
      <w:r>
        <w:rPr>
          <w:sz w:val="20"/>
        </w:rPr>
        <w:t>) days of the</w:t>
      </w:r>
      <w:r>
        <w:rPr>
          <w:spacing w:val="-30"/>
          <w:sz w:val="20"/>
        </w:rPr>
        <w:t xml:space="preserve"> </w:t>
      </w:r>
      <w:r>
        <w:rPr>
          <w:sz w:val="20"/>
        </w:rPr>
        <w:t>event.</w:t>
      </w:r>
    </w:p>
    <w:p w:rsidR="000A58E3" w:rsidRDefault="00447F4D">
      <w:pPr>
        <w:pStyle w:val="ListParagraph"/>
        <w:numPr>
          <w:ilvl w:val="0"/>
          <w:numId w:val="2"/>
        </w:numPr>
        <w:tabs>
          <w:tab w:val="left" w:pos="821"/>
        </w:tabs>
        <w:spacing w:line="276" w:lineRule="auto"/>
        <w:ind w:right="131"/>
        <w:rPr>
          <w:sz w:val="20"/>
        </w:rPr>
      </w:pPr>
      <w:r>
        <w:rPr>
          <w:sz w:val="20"/>
        </w:rPr>
        <w:t>Any donation made to or on behalf of Helen Woodward Animal Center, whether the donation is an item or cash, is tax-deductible only when it is made directly and entirely to Helen Woodward Animal Center. Donations made for the benefits o</w:t>
      </w:r>
      <w:r>
        <w:rPr>
          <w:sz w:val="20"/>
        </w:rPr>
        <w:t>f Helen</w:t>
      </w:r>
      <w:r>
        <w:rPr>
          <w:spacing w:val="-26"/>
          <w:sz w:val="20"/>
        </w:rPr>
        <w:t xml:space="preserve"> </w:t>
      </w:r>
      <w:r>
        <w:rPr>
          <w:sz w:val="20"/>
        </w:rPr>
        <w:t>Woodward</w:t>
      </w:r>
    </w:p>
    <w:p w:rsidR="000A58E3" w:rsidRDefault="000A58E3">
      <w:pPr>
        <w:spacing w:line="276" w:lineRule="auto"/>
        <w:rPr>
          <w:sz w:val="20"/>
        </w:rPr>
        <w:sectPr w:rsidR="000A58E3">
          <w:type w:val="continuous"/>
          <w:pgSz w:w="12240" w:h="15840"/>
          <w:pgMar w:top="1060" w:right="1340" w:bottom="280" w:left="1340" w:header="720" w:footer="720" w:gutter="0"/>
          <w:cols w:space="720"/>
        </w:sectPr>
      </w:pPr>
    </w:p>
    <w:p w:rsidR="000A58E3" w:rsidRDefault="00447F4D">
      <w:pPr>
        <w:pStyle w:val="BodyText"/>
        <w:spacing w:before="83" w:line="276" w:lineRule="auto"/>
        <w:ind w:right="144" w:firstLine="0"/>
      </w:pPr>
      <w:r>
        <w:lastRenderedPageBreak/>
        <w:t>Animal Center, but that are received by an outside party (Organizer) do not qualify for a tax deduction as permitted by law.</w:t>
      </w:r>
    </w:p>
    <w:p w:rsidR="000A58E3" w:rsidRDefault="00447F4D">
      <w:pPr>
        <w:pStyle w:val="ListParagraph"/>
        <w:numPr>
          <w:ilvl w:val="0"/>
          <w:numId w:val="2"/>
        </w:numPr>
        <w:tabs>
          <w:tab w:val="left" w:pos="821"/>
        </w:tabs>
        <w:spacing w:line="276" w:lineRule="auto"/>
        <w:ind w:right="121"/>
        <w:rPr>
          <w:sz w:val="20"/>
        </w:rPr>
      </w:pPr>
      <w:r>
        <w:rPr>
          <w:sz w:val="20"/>
        </w:rPr>
        <w:t>Donors</w:t>
      </w:r>
      <w:r>
        <w:rPr>
          <w:spacing w:val="-4"/>
          <w:sz w:val="20"/>
        </w:rPr>
        <w:t xml:space="preserve"> </w:t>
      </w:r>
      <w:r>
        <w:rPr>
          <w:sz w:val="20"/>
        </w:rPr>
        <w:t>to</w:t>
      </w:r>
      <w:r>
        <w:rPr>
          <w:spacing w:val="-1"/>
          <w:sz w:val="20"/>
        </w:rPr>
        <w:t xml:space="preserve"> </w:t>
      </w:r>
      <w:r>
        <w:rPr>
          <w:sz w:val="20"/>
        </w:rPr>
        <w:t>Third-Party</w:t>
      </w:r>
      <w:r>
        <w:rPr>
          <w:spacing w:val="-5"/>
          <w:sz w:val="20"/>
        </w:rPr>
        <w:t xml:space="preserve"> </w:t>
      </w:r>
      <w:r>
        <w:rPr>
          <w:sz w:val="20"/>
        </w:rPr>
        <w:t>Fundraisers</w:t>
      </w:r>
      <w:r>
        <w:rPr>
          <w:spacing w:val="-4"/>
          <w:sz w:val="20"/>
        </w:rPr>
        <w:t xml:space="preserve"> </w:t>
      </w:r>
      <w:r>
        <w:rPr>
          <w:sz w:val="20"/>
        </w:rPr>
        <w:t>who</w:t>
      </w:r>
      <w:r>
        <w:rPr>
          <w:spacing w:val="-4"/>
          <w:sz w:val="20"/>
        </w:rPr>
        <w:t xml:space="preserve"> </w:t>
      </w:r>
      <w:r>
        <w:rPr>
          <w:sz w:val="20"/>
        </w:rPr>
        <w:t>wish</w:t>
      </w:r>
      <w:r>
        <w:rPr>
          <w:spacing w:val="-3"/>
          <w:sz w:val="20"/>
        </w:rPr>
        <w:t xml:space="preserve"> </w:t>
      </w:r>
      <w:r>
        <w:rPr>
          <w:sz w:val="20"/>
        </w:rPr>
        <w:t>to</w:t>
      </w:r>
      <w:r>
        <w:rPr>
          <w:spacing w:val="-4"/>
          <w:sz w:val="20"/>
        </w:rPr>
        <w:t xml:space="preserve"> </w:t>
      </w:r>
      <w:r>
        <w:rPr>
          <w:sz w:val="20"/>
        </w:rPr>
        <w:t>be</w:t>
      </w:r>
      <w:r>
        <w:rPr>
          <w:spacing w:val="-3"/>
          <w:sz w:val="20"/>
        </w:rPr>
        <w:t xml:space="preserve"> </w:t>
      </w:r>
      <w:r>
        <w:rPr>
          <w:sz w:val="20"/>
        </w:rPr>
        <w:t>receipted</w:t>
      </w:r>
      <w:r>
        <w:rPr>
          <w:spacing w:val="-3"/>
          <w:sz w:val="20"/>
        </w:rPr>
        <w:t xml:space="preserve"> </w:t>
      </w:r>
      <w:r>
        <w:rPr>
          <w:sz w:val="20"/>
        </w:rPr>
        <w:t>must</w:t>
      </w:r>
      <w:r>
        <w:rPr>
          <w:spacing w:val="-2"/>
          <w:sz w:val="20"/>
        </w:rPr>
        <w:t xml:space="preserve"> </w:t>
      </w:r>
      <w:r>
        <w:rPr>
          <w:sz w:val="20"/>
        </w:rPr>
        <w:t>make</w:t>
      </w:r>
      <w:r>
        <w:rPr>
          <w:spacing w:val="-3"/>
          <w:sz w:val="20"/>
        </w:rPr>
        <w:t xml:space="preserve"> </w:t>
      </w:r>
      <w:r>
        <w:rPr>
          <w:sz w:val="20"/>
        </w:rPr>
        <w:t>checks</w:t>
      </w:r>
      <w:r>
        <w:rPr>
          <w:spacing w:val="-4"/>
          <w:sz w:val="20"/>
        </w:rPr>
        <w:t xml:space="preserve"> </w:t>
      </w:r>
      <w:r>
        <w:rPr>
          <w:sz w:val="20"/>
        </w:rPr>
        <w:t>payable</w:t>
      </w:r>
      <w:r>
        <w:rPr>
          <w:spacing w:val="-3"/>
          <w:sz w:val="20"/>
        </w:rPr>
        <w:t xml:space="preserve"> </w:t>
      </w:r>
      <w:r>
        <w:rPr>
          <w:sz w:val="20"/>
        </w:rPr>
        <w:t xml:space="preserve">to Helen Woodward </w:t>
      </w:r>
      <w:r>
        <w:rPr>
          <w:sz w:val="20"/>
        </w:rPr>
        <w:t>Animal Center and provide an address. Cash donations must be received with a list of donors, addresses and specific amounts, otherwise cash will be collected as an anonymous gift. Cash should not be deposited into a personal account in order to write Helen</w:t>
      </w:r>
      <w:r>
        <w:rPr>
          <w:sz w:val="20"/>
        </w:rPr>
        <w:t xml:space="preserve"> Woodward Animal Center a check for the amount. If the fundraiser is a benefit event (i.e. benefit concert), the donor will only be receipted for the donation amount minus the fair market value of the</w:t>
      </w:r>
      <w:r>
        <w:rPr>
          <w:spacing w:val="-3"/>
          <w:sz w:val="20"/>
        </w:rPr>
        <w:t xml:space="preserve"> </w:t>
      </w:r>
      <w:r>
        <w:rPr>
          <w:sz w:val="20"/>
        </w:rPr>
        <w:t>benefit.</w:t>
      </w:r>
    </w:p>
    <w:p w:rsidR="000A58E3" w:rsidRDefault="00447F4D">
      <w:pPr>
        <w:pStyle w:val="ListParagraph"/>
        <w:numPr>
          <w:ilvl w:val="0"/>
          <w:numId w:val="2"/>
        </w:numPr>
        <w:tabs>
          <w:tab w:val="left" w:pos="821"/>
        </w:tabs>
        <w:spacing w:line="276" w:lineRule="auto"/>
        <w:ind w:right="489"/>
        <w:rPr>
          <w:sz w:val="20"/>
        </w:rPr>
      </w:pPr>
      <w:r>
        <w:rPr>
          <w:sz w:val="20"/>
        </w:rPr>
        <w:t>When a portion of the ticket price or suggeste</w:t>
      </w:r>
      <w:r>
        <w:rPr>
          <w:sz w:val="20"/>
        </w:rPr>
        <w:t>d donation from a participant of the Organizer’s</w:t>
      </w:r>
      <w:r>
        <w:rPr>
          <w:spacing w:val="-5"/>
          <w:sz w:val="20"/>
        </w:rPr>
        <w:t xml:space="preserve"> </w:t>
      </w:r>
      <w:r>
        <w:rPr>
          <w:sz w:val="20"/>
        </w:rPr>
        <w:t>fundraiser</w:t>
      </w:r>
      <w:r>
        <w:rPr>
          <w:spacing w:val="-4"/>
          <w:sz w:val="20"/>
        </w:rPr>
        <w:t xml:space="preserve"> </w:t>
      </w:r>
      <w:r>
        <w:rPr>
          <w:sz w:val="20"/>
        </w:rPr>
        <w:t>is</w:t>
      </w:r>
      <w:r>
        <w:rPr>
          <w:spacing w:val="-2"/>
          <w:sz w:val="20"/>
        </w:rPr>
        <w:t xml:space="preserve"> </w:t>
      </w:r>
      <w:r>
        <w:rPr>
          <w:sz w:val="20"/>
        </w:rPr>
        <w:t>not</w:t>
      </w:r>
      <w:r>
        <w:rPr>
          <w:spacing w:val="-3"/>
          <w:sz w:val="20"/>
        </w:rPr>
        <w:t xml:space="preserve"> </w:t>
      </w:r>
      <w:r>
        <w:rPr>
          <w:sz w:val="20"/>
        </w:rPr>
        <w:t>tax-deductible,</w:t>
      </w:r>
      <w:r>
        <w:rPr>
          <w:spacing w:val="-6"/>
          <w:sz w:val="20"/>
        </w:rPr>
        <w:t xml:space="preserve"> </w:t>
      </w:r>
      <w:r>
        <w:rPr>
          <w:sz w:val="20"/>
        </w:rPr>
        <w:t>the</w:t>
      </w:r>
      <w:r>
        <w:rPr>
          <w:spacing w:val="-2"/>
          <w:sz w:val="20"/>
        </w:rPr>
        <w:t xml:space="preserve"> </w:t>
      </w:r>
      <w:r>
        <w:rPr>
          <w:sz w:val="20"/>
        </w:rPr>
        <w:t>Organizer</w:t>
      </w:r>
      <w:r>
        <w:rPr>
          <w:spacing w:val="-4"/>
          <w:sz w:val="20"/>
        </w:rPr>
        <w:t xml:space="preserve"> </w:t>
      </w:r>
      <w:r>
        <w:rPr>
          <w:sz w:val="20"/>
        </w:rPr>
        <w:t>must</w:t>
      </w:r>
      <w:r>
        <w:rPr>
          <w:spacing w:val="-2"/>
          <w:sz w:val="20"/>
        </w:rPr>
        <w:t xml:space="preserve"> </w:t>
      </w:r>
      <w:r>
        <w:rPr>
          <w:sz w:val="20"/>
        </w:rPr>
        <w:t>clearly</w:t>
      </w:r>
      <w:r>
        <w:rPr>
          <w:spacing w:val="-5"/>
          <w:sz w:val="20"/>
        </w:rPr>
        <w:t xml:space="preserve"> </w:t>
      </w:r>
      <w:r>
        <w:rPr>
          <w:sz w:val="20"/>
        </w:rPr>
        <w:t>state</w:t>
      </w:r>
      <w:r>
        <w:rPr>
          <w:spacing w:val="-4"/>
          <w:sz w:val="20"/>
        </w:rPr>
        <w:t xml:space="preserve"> </w:t>
      </w:r>
      <w:r>
        <w:rPr>
          <w:sz w:val="20"/>
        </w:rPr>
        <w:t>this</w:t>
      </w:r>
      <w:r>
        <w:rPr>
          <w:spacing w:val="-5"/>
          <w:sz w:val="20"/>
        </w:rPr>
        <w:t xml:space="preserve"> </w:t>
      </w:r>
      <w:r>
        <w:rPr>
          <w:sz w:val="20"/>
        </w:rPr>
        <w:t>on</w:t>
      </w:r>
      <w:r>
        <w:rPr>
          <w:spacing w:val="-3"/>
          <w:sz w:val="20"/>
        </w:rPr>
        <w:t xml:space="preserve"> </w:t>
      </w:r>
      <w:r>
        <w:rPr>
          <w:sz w:val="20"/>
        </w:rPr>
        <w:t>all materials.</w:t>
      </w:r>
    </w:p>
    <w:p w:rsidR="000A58E3" w:rsidRDefault="00447F4D">
      <w:pPr>
        <w:pStyle w:val="ListParagraph"/>
        <w:numPr>
          <w:ilvl w:val="0"/>
          <w:numId w:val="2"/>
        </w:numPr>
        <w:tabs>
          <w:tab w:val="left" w:pos="821"/>
        </w:tabs>
        <w:spacing w:line="276" w:lineRule="auto"/>
        <w:ind w:right="780"/>
        <w:rPr>
          <w:sz w:val="20"/>
        </w:rPr>
      </w:pPr>
      <w:r>
        <w:rPr>
          <w:sz w:val="20"/>
        </w:rPr>
        <w:t>Helen Woodward Animal Center cannot guarantee that Helen Woodward</w:t>
      </w:r>
      <w:r>
        <w:rPr>
          <w:spacing w:val="-31"/>
          <w:sz w:val="20"/>
        </w:rPr>
        <w:t xml:space="preserve"> </w:t>
      </w:r>
      <w:r>
        <w:rPr>
          <w:sz w:val="20"/>
        </w:rPr>
        <w:t>Animal Center’s staff or volunteers will attend the</w:t>
      </w:r>
      <w:r>
        <w:rPr>
          <w:spacing w:val="-3"/>
          <w:sz w:val="20"/>
        </w:rPr>
        <w:t xml:space="preserve"> </w:t>
      </w:r>
      <w:r>
        <w:rPr>
          <w:sz w:val="20"/>
        </w:rPr>
        <w:t>fundraiser.</w:t>
      </w:r>
    </w:p>
    <w:p w:rsidR="000A58E3" w:rsidRDefault="00447F4D">
      <w:pPr>
        <w:pStyle w:val="ListParagraph"/>
        <w:numPr>
          <w:ilvl w:val="0"/>
          <w:numId w:val="2"/>
        </w:numPr>
        <w:tabs>
          <w:tab w:val="left" w:pos="821"/>
        </w:tabs>
        <w:spacing w:before="1" w:line="276" w:lineRule="auto"/>
        <w:ind w:right="364"/>
        <w:rPr>
          <w:sz w:val="20"/>
        </w:rPr>
      </w:pPr>
      <w:r>
        <w:rPr>
          <w:sz w:val="20"/>
        </w:rPr>
        <w:t xml:space="preserve">Helen Woodward Animal Center typically does not solicit participation from our supporters for Third-Party Fundraisers and cannot approve third-party use of Helen Woodward Animal Center’s mailing lists. </w:t>
      </w:r>
      <w:bookmarkStart w:id="0" w:name="_GoBack"/>
      <w:bookmarkEnd w:id="0"/>
    </w:p>
    <w:p w:rsidR="000A58E3" w:rsidRDefault="00447F4D">
      <w:pPr>
        <w:pStyle w:val="Heading1"/>
        <w:spacing w:line="276" w:lineRule="auto"/>
        <w:ind w:right="116"/>
      </w:pPr>
      <w:r>
        <w:t>He</w:t>
      </w:r>
      <w:r>
        <w:t>len Woodward Animal Center reserves the right to decline participation or cancel participation in a fundraiser for any reason. Generally, the following fundraisers will NOT be approved:</w:t>
      </w:r>
    </w:p>
    <w:p w:rsidR="000A58E3" w:rsidRDefault="00447F4D">
      <w:pPr>
        <w:pStyle w:val="ListParagraph"/>
        <w:numPr>
          <w:ilvl w:val="0"/>
          <w:numId w:val="1"/>
        </w:numPr>
        <w:tabs>
          <w:tab w:val="left" w:pos="821"/>
        </w:tabs>
        <w:spacing w:before="200"/>
        <w:ind w:hanging="361"/>
        <w:rPr>
          <w:sz w:val="20"/>
        </w:rPr>
      </w:pPr>
      <w:r>
        <w:rPr>
          <w:sz w:val="20"/>
        </w:rPr>
        <w:t>Fundraisers that do not adhere to our Third-party Fundraiser</w:t>
      </w:r>
      <w:r>
        <w:rPr>
          <w:spacing w:val="-8"/>
          <w:sz w:val="20"/>
        </w:rPr>
        <w:t xml:space="preserve"> </w:t>
      </w:r>
      <w:r>
        <w:rPr>
          <w:sz w:val="20"/>
        </w:rPr>
        <w:t>Guideline</w:t>
      </w:r>
      <w:r>
        <w:rPr>
          <w:sz w:val="20"/>
        </w:rPr>
        <w:t>s</w:t>
      </w:r>
    </w:p>
    <w:p w:rsidR="000A58E3" w:rsidRDefault="00447F4D">
      <w:pPr>
        <w:pStyle w:val="ListParagraph"/>
        <w:numPr>
          <w:ilvl w:val="0"/>
          <w:numId w:val="1"/>
        </w:numPr>
        <w:tabs>
          <w:tab w:val="left" w:pos="821"/>
        </w:tabs>
        <w:spacing w:before="36"/>
        <w:ind w:hanging="361"/>
        <w:rPr>
          <w:sz w:val="20"/>
        </w:rPr>
      </w:pPr>
      <w:r>
        <w:rPr>
          <w:sz w:val="20"/>
        </w:rPr>
        <w:t>Raffles</w:t>
      </w:r>
    </w:p>
    <w:p w:rsidR="000A58E3" w:rsidRDefault="00447F4D">
      <w:pPr>
        <w:pStyle w:val="ListParagraph"/>
        <w:numPr>
          <w:ilvl w:val="0"/>
          <w:numId w:val="1"/>
        </w:numPr>
        <w:tabs>
          <w:tab w:val="left" w:pos="821"/>
        </w:tabs>
        <w:spacing w:before="38" w:line="276" w:lineRule="auto"/>
        <w:ind w:right="138"/>
        <w:rPr>
          <w:sz w:val="20"/>
        </w:rPr>
      </w:pPr>
      <w:r>
        <w:rPr>
          <w:sz w:val="20"/>
        </w:rPr>
        <w:t>Fundraisers that are controversial in nature or do not represent a positive image for Helen Woodward Animal</w:t>
      </w:r>
      <w:r>
        <w:rPr>
          <w:spacing w:val="1"/>
          <w:sz w:val="20"/>
        </w:rPr>
        <w:t xml:space="preserve"> </w:t>
      </w:r>
      <w:r>
        <w:rPr>
          <w:sz w:val="20"/>
        </w:rPr>
        <w:t>Center</w:t>
      </w:r>
    </w:p>
    <w:p w:rsidR="000A58E3" w:rsidRDefault="00447F4D">
      <w:pPr>
        <w:pStyle w:val="BodyText"/>
        <w:spacing w:before="200" w:line="276" w:lineRule="auto"/>
        <w:ind w:left="100" w:right="142" w:firstLine="0"/>
      </w:pPr>
      <w:r>
        <w:t xml:space="preserve">After you have reviewed the above guidelines, please complete the Fundraising Application online at: </w:t>
      </w:r>
      <w:hyperlink r:id="rId7">
        <w:r>
          <w:rPr>
            <w:color w:val="0000FF"/>
            <w:u w:val="single" w:color="0000FF"/>
          </w:rPr>
          <w:t>https://an</w:t>
        </w:r>
        <w:r>
          <w:rPr>
            <w:color w:val="0000FF"/>
            <w:u w:val="single" w:color="0000FF"/>
          </w:rPr>
          <w:t>i</w:t>
        </w:r>
        <w:r>
          <w:rPr>
            <w:color w:val="0000FF"/>
            <w:u w:val="single" w:color="0000FF"/>
          </w:rPr>
          <w:t>malcenter.org/get-involved/host-a-fundraising-event</w:t>
        </w:r>
      </w:hyperlink>
      <w:r>
        <w:t>. Once the application has been received, Helen Woodward Animal Center staff will review it and contact you promptly.</w:t>
      </w:r>
    </w:p>
    <w:p w:rsidR="000A58E3" w:rsidRDefault="00447F4D">
      <w:pPr>
        <w:pStyle w:val="BodyText"/>
        <w:spacing w:before="199" w:line="276" w:lineRule="auto"/>
        <w:ind w:left="100" w:right="116" w:firstLine="0"/>
      </w:pPr>
      <w:r>
        <w:t>Thank you again for your</w:t>
      </w:r>
      <w:r>
        <w:t xml:space="preserve"> support! Your fundraising efforts have great impact on the programs and animals here at Helen Woodward Animal Center.</w:t>
      </w:r>
    </w:p>
    <w:p w:rsidR="00447F4D" w:rsidRDefault="00447F4D" w:rsidP="00447F4D">
      <w:pPr>
        <w:spacing w:before="201" w:line="276" w:lineRule="auto"/>
        <w:ind w:left="2382" w:right="2382"/>
        <w:jc w:val="center"/>
        <w:rPr>
          <w:sz w:val="20"/>
        </w:rPr>
      </w:pPr>
      <w:r>
        <w:rPr>
          <w:b/>
          <w:sz w:val="20"/>
        </w:rPr>
        <w:t xml:space="preserve">For more information or questions please contact: </w:t>
      </w:r>
      <w:hyperlink r:id="rId8" w:history="1">
        <w:r w:rsidRPr="004A23CD">
          <w:rPr>
            <w:rStyle w:val="Hyperlink"/>
            <w:sz w:val="20"/>
          </w:rPr>
          <w:t>outreach@animalcenter.org</w:t>
        </w:r>
      </w:hyperlink>
    </w:p>
    <w:p w:rsidR="000A58E3" w:rsidRDefault="00447F4D">
      <w:pPr>
        <w:pStyle w:val="BodyText"/>
        <w:spacing w:line="245" w:lineRule="exact"/>
        <w:ind w:left="2381" w:right="2382" w:firstLine="0"/>
        <w:jc w:val="center"/>
      </w:pPr>
      <w:r>
        <w:t>(858) 756-4117 ext. 339</w:t>
      </w:r>
    </w:p>
    <w:sectPr w:rsidR="000A58E3">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52C25"/>
    <w:multiLevelType w:val="hybridMultilevel"/>
    <w:tmpl w:val="87265F2C"/>
    <w:lvl w:ilvl="0" w:tplc="9222CFDA">
      <w:start w:val="1"/>
      <w:numFmt w:val="lowerLetter"/>
      <w:lvlText w:val="%1)"/>
      <w:lvlJc w:val="left"/>
      <w:pPr>
        <w:ind w:left="820" w:hanging="360"/>
        <w:jc w:val="left"/>
      </w:pPr>
      <w:rPr>
        <w:rFonts w:ascii="Century Gothic" w:eastAsia="Century Gothic" w:hAnsi="Century Gothic" w:cs="Century Gothic" w:hint="default"/>
        <w:w w:val="99"/>
        <w:sz w:val="20"/>
        <w:szCs w:val="20"/>
        <w:lang w:val="en-US" w:eastAsia="en-US" w:bidi="en-US"/>
      </w:rPr>
    </w:lvl>
    <w:lvl w:ilvl="1" w:tplc="6DA8596E">
      <w:numFmt w:val="bullet"/>
      <w:lvlText w:val="•"/>
      <w:lvlJc w:val="left"/>
      <w:pPr>
        <w:ind w:left="1694" w:hanging="360"/>
      </w:pPr>
      <w:rPr>
        <w:rFonts w:hint="default"/>
        <w:lang w:val="en-US" w:eastAsia="en-US" w:bidi="en-US"/>
      </w:rPr>
    </w:lvl>
    <w:lvl w:ilvl="2" w:tplc="637A97C6">
      <w:numFmt w:val="bullet"/>
      <w:lvlText w:val="•"/>
      <w:lvlJc w:val="left"/>
      <w:pPr>
        <w:ind w:left="2568" w:hanging="360"/>
      </w:pPr>
      <w:rPr>
        <w:rFonts w:hint="default"/>
        <w:lang w:val="en-US" w:eastAsia="en-US" w:bidi="en-US"/>
      </w:rPr>
    </w:lvl>
    <w:lvl w:ilvl="3" w:tplc="29B2EB96">
      <w:numFmt w:val="bullet"/>
      <w:lvlText w:val="•"/>
      <w:lvlJc w:val="left"/>
      <w:pPr>
        <w:ind w:left="3442" w:hanging="360"/>
      </w:pPr>
      <w:rPr>
        <w:rFonts w:hint="default"/>
        <w:lang w:val="en-US" w:eastAsia="en-US" w:bidi="en-US"/>
      </w:rPr>
    </w:lvl>
    <w:lvl w:ilvl="4" w:tplc="61268BAC">
      <w:numFmt w:val="bullet"/>
      <w:lvlText w:val="•"/>
      <w:lvlJc w:val="left"/>
      <w:pPr>
        <w:ind w:left="4316" w:hanging="360"/>
      </w:pPr>
      <w:rPr>
        <w:rFonts w:hint="default"/>
        <w:lang w:val="en-US" w:eastAsia="en-US" w:bidi="en-US"/>
      </w:rPr>
    </w:lvl>
    <w:lvl w:ilvl="5" w:tplc="EF7E4BC4">
      <w:numFmt w:val="bullet"/>
      <w:lvlText w:val="•"/>
      <w:lvlJc w:val="left"/>
      <w:pPr>
        <w:ind w:left="5190" w:hanging="360"/>
      </w:pPr>
      <w:rPr>
        <w:rFonts w:hint="default"/>
        <w:lang w:val="en-US" w:eastAsia="en-US" w:bidi="en-US"/>
      </w:rPr>
    </w:lvl>
    <w:lvl w:ilvl="6" w:tplc="2FBA5000">
      <w:numFmt w:val="bullet"/>
      <w:lvlText w:val="•"/>
      <w:lvlJc w:val="left"/>
      <w:pPr>
        <w:ind w:left="6064" w:hanging="360"/>
      </w:pPr>
      <w:rPr>
        <w:rFonts w:hint="default"/>
        <w:lang w:val="en-US" w:eastAsia="en-US" w:bidi="en-US"/>
      </w:rPr>
    </w:lvl>
    <w:lvl w:ilvl="7" w:tplc="6352D0A6">
      <w:numFmt w:val="bullet"/>
      <w:lvlText w:val="•"/>
      <w:lvlJc w:val="left"/>
      <w:pPr>
        <w:ind w:left="6938" w:hanging="360"/>
      </w:pPr>
      <w:rPr>
        <w:rFonts w:hint="default"/>
        <w:lang w:val="en-US" w:eastAsia="en-US" w:bidi="en-US"/>
      </w:rPr>
    </w:lvl>
    <w:lvl w:ilvl="8" w:tplc="0F98B63C">
      <w:numFmt w:val="bullet"/>
      <w:lvlText w:val="•"/>
      <w:lvlJc w:val="left"/>
      <w:pPr>
        <w:ind w:left="7812" w:hanging="360"/>
      </w:pPr>
      <w:rPr>
        <w:rFonts w:hint="default"/>
        <w:lang w:val="en-US" w:eastAsia="en-US" w:bidi="en-US"/>
      </w:rPr>
    </w:lvl>
  </w:abstractNum>
  <w:abstractNum w:abstractNumId="1" w15:restartNumberingAfterBreak="0">
    <w:nsid w:val="4EE32941"/>
    <w:multiLevelType w:val="hybridMultilevel"/>
    <w:tmpl w:val="C1CAFFA4"/>
    <w:lvl w:ilvl="0" w:tplc="F6082F06">
      <w:start w:val="1"/>
      <w:numFmt w:val="decimal"/>
      <w:lvlText w:val="%1."/>
      <w:lvlJc w:val="left"/>
      <w:pPr>
        <w:ind w:left="820" w:hanging="360"/>
        <w:jc w:val="left"/>
      </w:pPr>
      <w:rPr>
        <w:rFonts w:ascii="Century Gothic" w:eastAsia="Century Gothic" w:hAnsi="Century Gothic" w:cs="Century Gothic" w:hint="default"/>
        <w:w w:val="99"/>
        <w:sz w:val="20"/>
        <w:szCs w:val="20"/>
        <w:lang w:val="en-US" w:eastAsia="en-US" w:bidi="en-US"/>
      </w:rPr>
    </w:lvl>
    <w:lvl w:ilvl="1" w:tplc="5970B4B0">
      <w:numFmt w:val="bullet"/>
      <w:lvlText w:val="•"/>
      <w:lvlJc w:val="left"/>
      <w:pPr>
        <w:ind w:left="1694" w:hanging="360"/>
      </w:pPr>
      <w:rPr>
        <w:rFonts w:hint="default"/>
        <w:lang w:val="en-US" w:eastAsia="en-US" w:bidi="en-US"/>
      </w:rPr>
    </w:lvl>
    <w:lvl w:ilvl="2" w:tplc="43DCD620">
      <w:numFmt w:val="bullet"/>
      <w:lvlText w:val="•"/>
      <w:lvlJc w:val="left"/>
      <w:pPr>
        <w:ind w:left="2568" w:hanging="360"/>
      </w:pPr>
      <w:rPr>
        <w:rFonts w:hint="default"/>
        <w:lang w:val="en-US" w:eastAsia="en-US" w:bidi="en-US"/>
      </w:rPr>
    </w:lvl>
    <w:lvl w:ilvl="3" w:tplc="3B22EFA6">
      <w:numFmt w:val="bullet"/>
      <w:lvlText w:val="•"/>
      <w:lvlJc w:val="left"/>
      <w:pPr>
        <w:ind w:left="3442" w:hanging="360"/>
      </w:pPr>
      <w:rPr>
        <w:rFonts w:hint="default"/>
        <w:lang w:val="en-US" w:eastAsia="en-US" w:bidi="en-US"/>
      </w:rPr>
    </w:lvl>
    <w:lvl w:ilvl="4" w:tplc="428A31B0">
      <w:numFmt w:val="bullet"/>
      <w:lvlText w:val="•"/>
      <w:lvlJc w:val="left"/>
      <w:pPr>
        <w:ind w:left="4316" w:hanging="360"/>
      </w:pPr>
      <w:rPr>
        <w:rFonts w:hint="default"/>
        <w:lang w:val="en-US" w:eastAsia="en-US" w:bidi="en-US"/>
      </w:rPr>
    </w:lvl>
    <w:lvl w:ilvl="5" w:tplc="87E614D8">
      <w:numFmt w:val="bullet"/>
      <w:lvlText w:val="•"/>
      <w:lvlJc w:val="left"/>
      <w:pPr>
        <w:ind w:left="5190" w:hanging="360"/>
      </w:pPr>
      <w:rPr>
        <w:rFonts w:hint="default"/>
        <w:lang w:val="en-US" w:eastAsia="en-US" w:bidi="en-US"/>
      </w:rPr>
    </w:lvl>
    <w:lvl w:ilvl="6" w:tplc="F8A44CD2">
      <w:numFmt w:val="bullet"/>
      <w:lvlText w:val="•"/>
      <w:lvlJc w:val="left"/>
      <w:pPr>
        <w:ind w:left="6064" w:hanging="360"/>
      </w:pPr>
      <w:rPr>
        <w:rFonts w:hint="default"/>
        <w:lang w:val="en-US" w:eastAsia="en-US" w:bidi="en-US"/>
      </w:rPr>
    </w:lvl>
    <w:lvl w:ilvl="7" w:tplc="8CE47BA2">
      <w:numFmt w:val="bullet"/>
      <w:lvlText w:val="•"/>
      <w:lvlJc w:val="left"/>
      <w:pPr>
        <w:ind w:left="6938" w:hanging="360"/>
      </w:pPr>
      <w:rPr>
        <w:rFonts w:hint="default"/>
        <w:lang w:val="en-US" w:eastAsia="en-US" w:bidi="en-US"/>
      </w:rPr>
    </w:lvl>
    <w:lvl w:ilvl="8" w:tplc="7AFA54FA">
      <w:numFmt w:val="bullet"/>
      <w:lvlText w:val="•"/>
      <w:lvlJc w:val="left"/>
      <w:pPr>
        <w:ind w:left="7812"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E3"/>
    <w:rsid w:val="000A58E3"/>
    <w:rsid w:val="0044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29F5"/>
  <w15:docId w15:val="{D82741E4-3B1D-4B6F-A9DB-60AC845C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entury Gothic" w:eastAsia="Century Gothic" w:hAnsi="Century Gothic" w:cs="Century Gothic"/>
      <w:lang w:bidi="en-US"/>
    </w:rPr>
  </w:style>
  <w:style w:type="paragraph" w:styleId="Heading1">
    <w:name w:val="heading 1"/>
    <w:basedOn w:val="Normal"/>
    <w:uiPriority w:val="9"/>
    <w:qFormat/>
    <w:pPr>
      <w:spacing w:before="200"/>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47F4D"/>
    <w:rPr>
      <w:color w:val="0000FF" w:themeColor="hyperlink"/>
      <w:u w:val="single"/>
    </w:rPr>
  </w:style>
  <w:style w:type="character" w:styleId="UnresolvedMention">
    <w:name w:val="Unresolved Mention"/>
    <w:basedOn w:val="DefaultParagraphFont"/>
    <w:uiPriority w:val="99"/>
    <w:semiHidden/>
    <w:unhideWhenUsed/>
    <w:rsid w:val="00447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outreach@animalcenter.org" TargetMode="External"/><Relationship Id="rId3" Type="http://schemas.openxmlformats.org/officeDocument/2006/relationships/settings" Target="settings.xml"/><Relationship Id="rId7" Type="http://schemas.openxmlformats.org/officeDocument/2006/relationships/hyperlink" Target="https://animalcenter.org/get-involved/host-a-fundraising-ev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imalcenter.org/get-involved/business-buddi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Gwen LaMar</cp:lastModifiedBy>
  <cp:revision>2</cp:revision>
  <dcterms:created xsi:type="dcterms:W3CDTF">2023-12-18T22:09:00Z</dcterms:created>
  <dcterms:modified xsi:type="dcterms:W3CDTF">2023-12-18T22:09:00Z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Creator">
    <vt:lpwstr>Microsoft® Word 2010</vt:lpwstr>
  </property>
  <property fmtid="{D5CDD505-2E9C-101B-9397-08002B2CF9AE}" pid="4" name="LastSaved">
    <vt:filetime>2023-12-18T00:00:00Z</vt:filetime>
  </property>
</Properties>
</file>